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人淋巴瘤细胞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（</w:t>
      </w:r>
      <w:bookmarkStart w:id="2" w:name="_GoBack"/>
      <w:bookmarkStart w:id="0" w:name="OLE_LINK13"/>
      <w:bookmarkStart w:id="1" w:name="OLE_LINK12"/>
      <w:r>
        <w:rPr>
          <w:rFonts w:hint="eastAsia"/>
          <w:b/>
          <w:sz w:val="24"/>
        </w:rPr>
        <w:t>U-937</w:t>
      </w:r>
      <w:bookmarkEnd w:id="2"/>
      <w:bookmarkEnd w:id="0"/>
      <w:bookmarkEnd w:id="1"/>
      <w:r>
        <w:rPr>
          <w:rFonts w:hint="eastAsia"/>
          <w:b/>
          <w:sz w:val="24"/>
        </w:rPr>
        <w:t>）</w:t>
      </w:r>
    </w:p>
    <w:p>
      <w:pPr>
        <w:ind w:right="482"/>
        <w:jc w:val="righ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cs="Calibri"/>
          <w:sz w:val="24"/>
        </w:rPr>
        <w:t>该细胞是由Nilsson K实验室于1974年从一名37岁的患有恶性组织细胞性淋巴瘤的白人男性的胸水中分离建立的。1979年来的研究显示该细胞在人混合淋巴细胞培养物上清、佛波酯、Vit D3、γ-IFN、TNF和维A酸的诱导下可以向终末单核细胞分化。该细胞不合成免疫球蛋白，EBV阴性；可产生溶菌酶、β-2-微球蛋白，受PMA刺激后可产生TNF-α；表达C3R；可作转染宿主；表达Fas，对TNF和抗Fas的抗体敏感。 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淋巴瘤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单核细胞，悬浮</w:t>
      </w:r>
      <w:r>
        <w:rPr>
          <w:sz w:val="24"/>
        </w:rPr>
        <w:t>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准备1</w:t>
      </w:r>
      <w:r>
        <w:rPr>
          <w:sz w:val="24"/>
        </w:rPr>
        <w:t>640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</w:t>
      </w:r>
      <w:r>
        <w:rPr>
          <w:sz w:val="24"/>
        </w:rPr>
        <w:t>0</w:t>
      </w:r>
      <w:r>
        <w:rPr>
          <w:rFonts w:hint="eastAsia"/>
          <w:sz w:val="24"/>
        </w:rPr>
        <w:t>%；双抗，1%</w:t>
      </w:r>
      <w:r>
        <w:rPr>
          <w:sz w:val="24"/>
        </w:rPr>
        <w:t>。</w:t>
      </w:r>
    </w:p>
    <w:p>
      <w:pPr>
        <w:pStyle w:val="10"/>
        <w:ind w:left="0" w:leftChars="0" w:firstLine="0" w:firstLineChars="0"/>
        <w:jc w:val="left"/>
        <w:rPr>
          <w:rFonts w:hint="eastAsia" w:eastAsia="宋体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</w:rPr>
        <w:t>a）该细胞为悬浮细胞，根据培养经验以及客户的反馈，传代时使用【半换液法】对细胞状态有利，因此我库建议您使用【半换液法】进行传代。同时，您在收到细胞后，请不要通过离心的方式收集细胞，可以直接</w:t>
      </w:r>
      <w:r>
        <w:rPr>
          <w:rFonts w:hint="eastAsia"/>
          <w:sz w:val="24"/>
          <w:szCs w:val="24"/>
          <w:highlight w:val="yellow"/>
          <w:lang w:val="en-US" w:eastAsia="zh-CN"/>
        </w:rPr>
        <w:t>将每一管离心管中的细胞悬液</w:t>
      </w:r>
      <w:r>
        <w:rPr>
          <w:rFonts w:hint="eastAsia"/>
          <w:sz w:val="24"/>
          <w:szCs w:val="24"/>
          <w:highlight w:val="yellow"/>
        </w:rPr>
        <w:t>吹打均匀后移入两个新的T25培养瓶中继续培养即可。</w:t>
      </w:r>
      <w:r>
        <w:rPr>
          <w:rFonts w:hint="eastAsia"/>
          <w:sz w:val="24"/>
          <w:szCs w:val="24"/>
          <w:highlight w:val="yellow"/>
          <w:lang w:eastAsia="zh-CN"/>
        </w:rPr>
        <w:t>（</w:t>
      </w:r>
      <w:r>
        <w:rPr>
          <w:rFonts w:hint="eastAsia"/>
          <w:sz w:val="24"/>
          <w:szCs w:val="24"/>
          <w:highlight w:val="yellow"/>
          <w:lang w:val="en-US" w:eastAsia="zh-CN"/>
        </w:rPr>
        <w:t>即2个离心管中的细胞悬液分到4个T25瓶中</w:t>
      </w:r>
      <w:r>
        <w:rPr>
          <w:rFonts w:hint="eastAsia"/>
          <w:sz w:val="24"/>
          <w:szCs w:val="24"/>
          <w:highlight w:val="yellow"/>
          <w:lang w:eastAsia="zh-CN"/>
        </w:rPr>
        <w:t>）</w:t>
      </w:r>
    </w:p>
    <w:p>
      <w:pPr>
        <w:pStyle w:val="10"/>
        <w:ind w:left="0" w:leftChars="0" w:firstLine="0" w:firstLineChars="0"/>
        <w:jc w:val="left"/>
        <w:rPr>
          <w:rFonts w:hint="eastAsia" w:eastAsia="宋体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</w:rPr>
        <w:t>b）</w:t>
      </w:r>
      <w:r>
        <w:rPr>
          <w:rFonts w:hint="eastAsia"/>
          <w:sz w:val="24"/>
          <w:szCs w:val="24"/>
          <w:highlight w:val="yellow"/>
          <w:lang w:val="en-US" w:eastAsia="zh-CN"/>
        </w:rPr>
        <w:t>该</w:t>
      </w:r>
      <w:r>
        <w:rPr>
          <w:rFonts w:hint="eastAsia"/>
          <w:sz w:val="24"/>
          <w:szCs w:val="24"/>
          <w:highlight w:val="yellow"/>
        </w:rPr>
        <w:t>细胞对血清质量较为敏感，建议您使用进口大品牌</w:t>
      </w:r>
      <w:r>
        <w:rPr>
          <w:rFonts w:hint="eastAsia"/>
          <w:sz w:val="24"/>
          <w:szCs w:val="24"/>
          <w:highlight w:val="yellow"/>
          <w:lang w:val="en-US" w:eastAsia="zh-CN"/>
        </w:rPr>
        <w:t>特级</w:t>
      </w:r>
      <w:r>
        <w:rPr>
          <w:rFonts w:hint="eastAsia"/>
          <w:sz w:val="24"/>
          <w:szCs w:val="24"/>
          <w:highlight w:val="yellow"/>
        </w:rPr>
        <w:t>血清进行培养</w:t>
      </w:r>
      <w:r>
        <w:rPr>
          <w:rFonts w:hint="eastAsia"/>
          <w:sz w:val="24"/>
          <w:szCs w:val="24"/>
          <w:highlight w:val="yellow"/>
          <w:lang w:eastAsia="zh-CN"/>
        </w:rPr>
        <w:t>，</w:t>
      </w:r>
    </w:p>
    <w:p>
      <w:pPr>
        <w:pStyle w:val="10"/>
        <w:ind w:left="0" w:leftChars="0" w:firstLine="0" w:firstLineChars="0"/>
        <w:jc w:val="left"/>
        <w:rPr>
          <w:rFonts w:hint="eastAsia"/>
          <w:sz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培养，传代时请注意保持细胞密度在合适的范围。</w:t>
      </w:r>
    </w:p>
    <w:p>
      <w:pPr>
        <w:pStyle w:val="9"/>
        <w:numPr>
          <w:numId w:val="0"/>
        </w:numPr>
        <w:ind w:leftChars="0"/>
        <w:jc w:val="left"/>
        <w:rPr>
          <w:sz w:val="24"/>
        </w:rPr>
      </w:pP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40C3B4F"/>
    <w:rsid w:val="2A9868B3"/>
    <w:rsid w:val="2FDF765A"/>
    <w:rsid w:val="3F3B6D04"/>
    <w:rsid w:val="3F583FA9"/>
    <w:rsid w:val="3FCB6D47"/>
    <w:rsid w:val="47410A32"/>
    <w:rsid w:val="48895562"/>
    <w:rsid w:val="4F5A6DAF"/>
    <w:rsid w:val="7DDA247D"/>
    <w:rsid w:val="7E520417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7</TotalTime>
  <ScaleCrop>false</ScaleCrop>
  <LinksUpToDate>false</LinksUpToDate>
  <CharactersWithSpaces>1823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2023-12-20T11:02:04Z</cp:lastPrinted>
  <dcterms:modified xsi:type="dcterms:W3CDTF">2023-12-20T11:02:20Z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A63C98F0DE0A4EB895D8B7C194044F4B_13</vt:lpwstr>
  </property>
</Properties>
</file>