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</w:t>
      </w:r>
      <w:r>
        <w:rPr>
          <w:b/>
          <w:sz w:val="24"/>
        </w:rPr>
        <w:t>人卵巢癌细胞</w:t>
      </w:r>
      <w:r>
        <w:rPr>
          <w:rFonts w:hint="eastAsia"/>
          <w:b/>
          <w:sz w:val="24"/>
          <w:lang w:val="en-US" w:eastAsia="zh-CN"/>
        </w:rPr>
        <w:t>荧光素酶标记</w:t>
      </w:r>
    </w:p>
    <w:p>
      <w:pPr>
        <w:wordWrap w:val="0"/>
        <w:ind w:right="21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bookmarkStart w:id="4" w:name="_GoBack"/>
      <w:r>
        <w:rPr>
          <w:rFonts w:hint="eastAsia"/>
          <w:b/>
          <w:sz w:val="24"/>
        </w:rPr>
        <w:t>SK-OV-3</w:t>
      </w:r>
      <w:r>
        <w:rPr>
          <w:rFonts w:hint="eastAsia"/>
          <w:b/>
          <w:sz w:val="24"/>
          <w:lang w:val="en-US" w:eastAsia="zh-CN"/>
        </w:rPr>
        <w:t>-LUC</w:t>
      </w:r>
      <w:bookmarkEnd w:id="4"/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cs="Calibri"/>
          <w:sz w:val="24"/>
        </w:rPr>
        <w:t>SK-OV-3由G.Trempe和L.J.Old在1973年从卵巢肿瘤病人的腹水分离得到。 此细胞对肿瘤坏死因子和几种细胞毒性药物包括白喉毒素、顺铂和阿霉素均耐受。 在裸鼠中致瘤，且形成与卵巢原位癌一致的中度分化的腺癌</w:t>
      </w:r>
      <w:r>
        <w:rPr>
          <w:rFonts w:hint="eastAsia" w:cs="Calibri"/>
          <w:sz w:val="24"/>
        </w:rPr>
        <w:t>。</w:t>
      </w:r>
      <w:r>
        <w:rPr>
          <w:rFonts w:hint="eastAsia" w:cs="Calibri"/>
          <w:sz w:val="24"/>
          <w:highlight w:val="yellow"/>
        </w:rPr>
        <w:t>该细胞通过慢病毒转染的方式携带Luc基因。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cs="Calibri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cs="Calibri"/>
          <w:sz w:val="24"/>
        </w:rPr>
        <w:t>卵巢腺癌，腹水转移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 xml:space="preserve">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</w:rPr>
        <w:t xml:space="preserve"> 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</w:rPr>
        <w:t>3）贴壁细胞：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 w:cs="Calibri"/>
          <w:color w:val="000000"/>
          <w:sz w:val="24"/>
        </w:rPr>
        <w:t>4）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sz w:val="24"/>
        </w:rPr>
        <w:t>M</w:t>
      </w:r>
      <w:r>
        <w:rPr>
          <w:rFonts w:hint="eastAsia"/>
          <w:sz w:val="24"/>
        </w:rPr>
        <w:t>c</w:t>
      </w:r>
      <w:r>
        <w:rPr>
          <w:sz w:val="24"/>
        </w:rPr>
        <w:t>C</w:t>
      </w:r>
      <w:r>
        <w:rPr>
          <w:rFonts w:hint="eastAsia"/>
          <w:sz w:val="24"/>
        </w:rPr>
        <w:t>oy</w:t>
      </w:r>
      <w:r>
        <w:rPr>
          <w:sz w:val="24"/>
        </w:rPr>
        <w:t>'</w:t>
      </w:r>
      <w:r>
        <w:rPr>
          <w:rFonts w:hint="eastAsia"/>
          <w:sz w:val="24"/>
        </w:rPr>
        <w:t>s</w:t>
      </w:r>
      <w:r>
        <w:rPr>
          <w:sz w:val="24"/>
        </w:rPr>
        <w:t xml:space="preserve"> 5A</w:t>
      </w:r>
      <w:r>
        <w:rPr>
          <w:rFonts w:hint="eastAsia"/>
          <w:sz w:val="24"/>
        </w:rPr>
        <w:t xml:space="preserve"> </w:t>
      </w:r>
      <w:r>
        <w:rPr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1%</w:t>
      </w:r>
      <w:r>
        <w:rPr>
          <w:sz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b/>
          <w:bCs/>
          <w:sz w:val="24"/>
          <w:highlight w:val="yellow"/>
          <w:u w:val="single"/>
        </w:rPr>
        <w:t>药筛浓度为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1</w:t>
      </w:r>
      <w:r>
        <w:rPr>
          <w:rFonts w:hint="eastAsia"/>
          <w:b/>
          <w:bCs/>
          <w:sz w:val="24"/>
          <w:highlight w:val="yellow"/>
          <w:u w:val="single"/>
        </w:rPr>
        <w:t>ug/ml，培养过程中可不用再添加puro，如若担心抗性随着传代时间降低，可定期用</w:t>
      </w:r>
      <w:r>
        <w:rPr>
          <w:rFonts w:hint="eastAsia"/>
          <w:b/>
          <w:bCs/>
          <w:sz w:val="24"/>
          <w:highlight w:val="yellow"/>
          <w:u w:val="single"/>
          <w:lang w:val="en-US" w:eastAsia="zh-CN"/>
        </w:rPr>
        <w:t>0.5</w:t>
      </w:r>
      <w:r>
        <w:rPr>
          <w:rFonts w:hint="eastAsia"/>
          <w:b/>
          <w:bCs/>
          <w:sz w:val="24"/>
          <w:highlight w:val="yellow"/>
          <w:u w:val="single"/>
        </w:rPr>
        <w:t>ug/ml浓度puro维持，冻存和传代未贴壁时请勿加药。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ind w:firstLine="0"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二．细胞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/>
          <w:b/>
          <w:sz w:val="24"/>
        </w:rPr>
        <w:t>冻存细胞的复苏</w:t>
      </w:r>
      <w:r>
        <w:rPr>
          <w:rFonts w:hint="eastAsia"/>
          <w:sz w:val="24"/>
        </w:rPr>
        <w:t>：：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sz w:val="24"/>
          <w:szCs w:val="24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含10%FBS的培养基来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ind w:left="210" w:left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将细胞悬液按1：2的比例分到新T25瓶中，添加6-8ml按照说明书要求配置的新的完全培养基以保持细胞的生长活力，后续传代根据实际情况按1:2~1:5的比例进行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ind w:left="29" w:leftChars="14"/>
        <w:rPr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1. 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l.</w:t>
      </w:r>
    </w:p>
    <w:p>
      <w:pPr>
        <w:ind w:left="270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2. 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ind w:left="27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3. 将要冻存的细胞置于程序降温盒中，-80度冰箱中过夜，之后转入液氮容器中储存。同时记录好冻存管在液氮容器中的位置以便后续查阅和使用。</w:t>
      </w:r>
    </w:p>
    <w:p>
      <w:pPr>
        <w:ind w:left="270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24176456"/>
    <w:rsid w:val="25D13E8A"/>
    <w:rsid w:val="2FDF765A"/>
    <w:rsid w:val="2FE04785"/>
    <w:rsid w:val="3F3B6D04"/>
    <w:rsid w:val="3F583FA9"/>
    <w:rsid w:val="3FCB6D47"/>
    <w:rsid w:val="47410A32"/>
    <w:rsid w:val="48895562"/>
    <w:rsid w:val="7019691C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0</TotalTime>
  <ScaleCrop>false</ScaleCrop>
  <LinksUpToDate>false</LinksUpToDate>
  <CharactersWithSpaces>1823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2023-11-05T06:24:29Z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894BF485F3434BD2B06EBA82572F80DB_13</vt:lpwstr>
  </property>
</Properties>
</file>