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bCs w:val="0"/>
          <w:sz w:val="24"/>
        </w:rPr>
      </w:pP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bCs w:val="0"/>
          <w:sz w:val="24"/>
        </w:rPr>
        <w:t xml:space="preserve"> 人恶性非霍奇金淋巴瘤患者的自然杀伤细胞</w:t>
      </w:r>
    </w:p>
    <w:p>
      <w:pPr>
        <w:wordWrap w:val="0"/>
        <w:jc w:val="right"/>
        <w:rPr>
          <w:rFonts w:hint="eastAsia"/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(NK92</w:t>
      </w:r>
      <w:r>
        <w:rPr>
          <w:rFonts w:hint="eastAsia"/>
          <w:b/>
          <w:bCs w:val="0"/>
          <w:sz w:val="24"/>
          <w:lang w:val="en-US" w:eastAsia="zh-CN"/>
        </w:rPr>
        <w:t>MI</w:t>
      </w:r>
      <w:r>
        <w:rPr>
          <w:rFonts w:hint="eastAsia"/>
          <w:b/>
          <w:bCs w:val="0"/>
          <w:sz w:val="24"/>
        </w:rPr>
        <w:t>)</w:t>
      </w:r>
    </w:p>
    <w:p>
      <w:pPr>
        <w:wordWrap/>
        <w:jc w:val="both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/>
          <w:b/>
          <w:sz w:val="24"/>
          <w:lang w:val="en-US" w:eastAsia="zh-CN"/>
        </w:rPr>
        <w:t>细胞介绍：</w:t>
      </w:r>
    </w:p>
    <w:p>
      <w:pPr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NK-92细胞是从一位患有急进性非霍奇金淋巴瘤的50岁白人男性外周血单核细胞衍生来的一株IL-2依赖型NK细胞株。NK-92MI细胞是转染得到的源自NK-92细胞的IL-2非依赖的NK细胞株。亲本细胞NK-92通过微粒体基因转化法用逆转录病毒MFG-hIL-2载体携带的人IL-2cDNA进行转化。可能由于载体整合到基因组DNA中，转化是稳定的。</w:t>
      </w:r>
    </w:p>
    <w:p>
      <w:pPr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这株细胞对很多恶性细胞有细胞毒性；铬释放试验显示它能杀死K562细胞和Daudi细胞。NK-92细胞有以下特征：CD2、CD7、CD11a、CD28、CD45、CD54表面标记阳性；CD1、CD3、CD4、CD5、CD8、CD10、CD14、CD16、CD19、CD20、CD23、CD34和HLA-DR表面标记阴性。</w:t>
      </w:r>
    </w:p>
    <w:p>
      <w:pPr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其亲本IL-2依赖的细胞株NK-92细胞及另一株同样来源于NK-92细胞株的IL-2非依赖的细胞株NK-92CI都可从ATCC得到。NK-92MI细胞和NK-92CI细胞这两个变种都包含、表达并合成hIL-2cDNA。NK-92MI细胞合成的IL-2水平比NK-92CI高，而亲本细胞不合成表达。1998年9月提交到ATCC的培养物污染了支原体，其后代通过BM细胞周期蛋白处理21天消除支原体。处理后6周，用Hoechst染色、PCR和标准培养测试进行支原体检测，结果都呈阴性。</w:t>
      </w:r>
    </w:p>
    <w:p>
      <w:pPr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b w:val="0"/>
          <w:bCs/>
          <w:sz w:val="24"/>
          <w:lang w:val="en-US" w:eastAsia="zh-Hans"/>
        </w:rPr>
        <w:t>恶性非霍奇金淋巴瘤患者的自然杀伤细胞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b w:val="0"/>
          <w:bCs/>
          <w:sz w:val="24"/>
          <w:lang w:val="en-US" w:eastAsia="zh-Hans"/>
        </w:rPr>
        <w:t>淋巴母细胞样</w:t>
      </w:r>
      <w:r>
        <w:rPr>
          <w:rFonts w:hint="eastAsia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悬浮生长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 xml:space="preserve">1） 收到细胞后，75%酒精消毒瓶壁将T25瓶置于37℃培养箱放置约2-3h，若发现培养瓶破损、有液溢出及细胞有污染，请拍照后及时联系我们。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hint="eastAsia" w:cs="Calibri"/>
          <w:sz w:val="24"/>
        </w:rPr>
      </w:pPr>
      <w:r>
        <w:rPr>
          <w:rFonts w:hint="eastAsia" w:cs="Calibri"/>
          <w:sz w:val="24"/>
          <w:lang w:val="en-US" w:eastAsia="zh-CN"/>
        </w:rPr>
        <w:t>3</w:t>
      </w:r>
      <w:r>
        <w:rPr>
          <w:rFonts w:hint="eastAsia" w:cs="Calibri"/>
          <w:sz w:val="24"/>
        </w:rPr>
        <w:t>） 悬浮细胞：T25瓶置于37℃培养箱放置约2-3h，然后抽出瓶中的培养基和细胞1000rpm离心5分钟，弃去上清重悬后接种到新的培养瓶中（加入按照说明书细胞培养条件新配制的完全培养基）。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  <w:szCs w:val="24"/>
        </w:rPr>
        <w:t>准备MEMα</w:t>
      </w:r>
      <w:r>
        <w:rPr>
          <w:rFonts w:hint="eastAsia"/>
          <w:sz w:val="24"/>
          <w:szCs w:val="24"/>
          <w:lang w:val="en-US" w:eastAsia="zh-CN"/>
        </w:rPr>
        <w:t>基础培养基</w:t>
      </w:r>
      <w:r>
        <w:rPr>
          <w:rFonts w:hint="eastAsia"/>
          <w:sz w:val="24"/>
          <w:szCs w:val="24"/>
        </w:rPr>
        <w:t>+0.2mM Inositol（肌醇） +0.1mM β-mercaptoethanol （β巯基乙醇）β+0.02mM Folic Acid（叶酸）+12.5% HS(马血清）+12.5% FBS</w:t>
      </w:r>
      <w:r>
        <w:rPr>
          <w:rFonts w:hint="eastAsia"/>
          <w:sz w:val="24"/>
          <w:szCs w:val="24"/>
          <w:lang w:val="en-US" w:eastAsia="zh-CN"/>
        </w:rPr>
        <w:t>优质胎牛血清</w:t>
      </w:r>
      <w:r>
        <w:rPr>
          <w:rFonts w:hint="eastAsia"/>
          <w:sz w:val="24"/>
          <w:szCs w:val="24"/>
        </w:rPr>
        <w:t>+1% P/S</w:t>
      </w:r>
      <w:r>
        <w:rPr>
          <w:rFonts w:hint="eastAsia"/>
          <w:sz w:val="24"/>
          <w:szCs w:val="24"/>
          <w:lang w:val="en-US" w:eastAsia="zh-CN"/>
        </w:rPr>
        <w:t>双抗。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：气相：空气，95%；二氧化碳，5%。温度：37摄氏</w:t>
      </w:r>
      <w:bookmarkStart w:id="2" w:name="_GoBack"/>
      <w:bookmarkEnd w:id="2"/>
      <w:r>
        <w:rPr>
          <w:sz w:val="24"/>
        </w:rPr>
        <w:t>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4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pStyle w:val="10"/>
        <w:widowControl w:val="0"/>
        <w:numPr>
          <w:ilvl w:val="0"/>
          <w:numId w:val="0"/>
        </w:numPr>
        <w:jc w:val="left"/>
        <w:rPr>
          <w:rFonts w:hint="eastAsia"/>
          <w:b/>
          <w:sz w:val="24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rFonts w:hint="eastAsia"/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细胞刚复苏或密度较低时可以把培养瓶立起来培养，以提高细胞密度，促进细胞聚团。当细胞聚团正常生长后，建议平躺着培养该细胞，以增大空气交换面积，且液体高度最好不要超过3mm，一般T25培养瓶加6-8mL培养基，T75培养瓶加15mL左右培养基即可。培养基尽量现配，配好的培养基最好两周内用完，因为叶酸和IL-2不稳定易分解。</w:t>
      </w:r>
    </w:p>
    <w:p>
      <w:pPr>
        <w:pStyle w:val="10"/>
        <w:widowControl w:val="0"/>
        <w:numPr>
          <w:ilvl w:val="0"/>
          <w:numId w:val="0"/>
        </w:numPr>
        <w:jc w:val="left"/>
        <w:rPr>
          <w:rFonts w:hint="eastAsia"/>
          <w:b/>
          <w:sz w:val="24"/>
          <w:highlight w:val="yellow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rFonts w:hint="eastAsia"/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一般情况下细胞2-3天换液一次，即使培养基没有变黄。换液时轻轻侧过培养瓶/皿，不要使细胞飘起来，用巴氏吸管轻轻吸取部分上清弃去，补加等体积的新鲜培养基继续培养。或者将全部培养液转移至离心管中，1000rpm,离心5min，吸去上清后用新鲜培养轻轻重悬后重新种瓶，重悬时不可吹打过度。细胞对离心和吹打比较敏感，离心和反复吹打会影响细胞状态，建议只在细胞产生大量碎片时才离心清洗。平常换液建议半换，传代可直接补加足够新鲜的培养基后直接分瓶。</w:t>
      </w:r>
    </w:p>
    <w:p>
      <w:pPr>
        <w:pStyle w:val="10"/>
        <w:widowControl w:val="0"/>
        <w:numPr>
          <w:ilvl w:val="0"/>
          <w:numId w:val="0"/>
        </w:numPr>
        <w:jc w:val="left"/>
        <w:rPr>
          <w:rFonts w:hint="eastAsia"/>
          <w:b/>
          <w:sz w:val="24"/>
          <w:highlight w:val="yellow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rFonts w:hint="eastAsia"/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细胞团长至肉眼可见，且T25瓶子有几十上百个小团时，细胞数量已经比较多，此时应该2天换液一次。当一个20倍视野有4-5个大细胞团时应该进行传代。传代时加入两倍体积的新鲜培养基后，轻轻吹打细胞团，将大的细胞团打散成小团，但不要剧烈吹打成单细胞悬液，因为单个的细胞是基本没有增殖活力的细胞，然后将混匀的细胞悬液转移至新的培养瓶中。或者将细胞悬液转移至离心管中，1000rpm离心5min后，弃去上清，加入三倍体积的新鲜培养基轻轻重悬后转移至三个新的培养瓶中。</w:t>
      </w:r>
    </w:p>
    <w:p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5"/>
        </w:numPr>
        <w:ind w:firstLineChars="0"/>
        <w:jc w:val="left"/>
        <w:rPr>
          <w:b/>
          <w:sz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ind w:left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对于悬浮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传代</w:t>
      </w:r>
      <w:r>
        <w:rPr>
          <w:rFonts w:hint="eastAsia"/>
          <w:sz w:val="24"/>
          <w:szCs w:val="24"/>
        </w:rPr>
        <w:t>可参考以下</w:t>
      </w:r>
      <w:r>
        <w:rPr>
          <w:sz w:val="24"/>
          <w:szCs w:val="24"/>
        </w:rPr>
        <w:t>方法：</w:t>
      </w:r>
    </w:p>
    <w:p>
      <w:pPr>
        <w:jc w:val="left"/>
        <w:rPr>
          <w:rFonts w:hint="default" w:ascii="Times New Roman" w:hAnsi="Times New Roman" w:eastAsia="宋体" w:cs="Times New Roman"/>
          <w:sz w:val="24"/>
          <w:lang w:eastAsia="zh-Hans"/>
        </w:rPr>
      </w:pPr>
      <w:r>
        <w:rPr>
          <w:rFonts w:hint="eastAsia"/>
          <w:sz w:val="24"/>
          <w:szCs w:val="24"/>
        </w:rPr>
        <w:t>悬浮状态下生长的细胞，可以通过向培养瓶中添加完全培养基来维持细胞的生长状态，一般情况下细胞密度维持在1×10</w:t>
      </w:r>
      <w:r>
        <w:rPr>
          <w:rFonts w:hint="eastAsia"/>
          <w:sz w:val="24"/>
          <w:szCs w:val="24"/>
          <w:vertAlign w:val="superscript"/>
        </w:rPr>
        <w:t>5</w:t>
      </w:r>
      <w:r>
        <w:rPr>
          <w:rFonts w:hint="eastAsia"/>
          <w:sz w:val="24"/>
          <w:szCs w:val="24"/>
        </w:rPr>
        <w:t>~1×10</w:t>
      </w:r>
      <w:r>
        <w:rPr>
          <w:rFonts w:hint="eastAsia"/>
          <w:sz w:val="24"/>
          <w:szCs w:val="24"/>
          <w:vertAlign w:val="superscript"/>
        </w:rPr>
        <w:t>6</w:t>
      </w:r>
      <w:r>
        <w:rPr>
          <w:rFonts w:hint="eastAsia"/>
          <w:sz w:val="24"/>
          <w:szCs w:val="24"/>
        </w:rPr>
        <w:t>个/mL（不同细胞对密度要求不同，）可以维持细胞的正常生长。如需分瓶可以将细胞悬液收集到离心管中1000rpm，离心5min，弃去上清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补加1-2mL培养液后</w:t>
      </w:r>
      <w:r>
        <w:rPr>
          <w:rFonts w:hint="eastAsia"/>
          <w:sz w:val="24"/>
        </w:rPr>
        <w:t>重悬混匀后将细胞悬液按1：2的比例分到新T25瓶中，添加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5"/>
        </w:numPr>
        <w:ind w:left="360" w:leftChars="0" w:hanging="360" w:firstLineChars="0"/>
        <w:rPr>
          <w:rFonts w:hint="eastAsia"/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0" w:name="_Hlk55846335"/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1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1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6"/>
        </w:numPr>
        <w:ind w:left="270" w:leftChars="0" w:firstLine="0" w:firstLineChars="0"/>
        <w:rPr>
          <w:sz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bookmarkEnd w:id="0"/>
    <w:p>
      <w:pPr>
        <w:jc w:val="left"/>
        <w:rPr>
          <w:rFonts w:hint="eastAsia"/>
          <w:b/>
          <w:sz w:val="22"/>
        </w:rPr>
      </w:pPr>
    </w:p>
    <w:p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注意事项： </w:t>
      </w:r>
    </w:p>
    <w:p>
      <w:pPr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1. </w:t>
      </w:r>
      <w:r>
        <w:rPr>
          <w:rFonts w:hint="eastAsia"/>
          <w:sz w:val="24"/>
        </w:rPr>
        <w:t>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rFonts w:hint="eastAsia"/>
          <w:sz w:val="22"/>
          <w:szCs w:val="24"/>
        </w:rPr>
      </w:pPr>
      <w:r>
        <w:rPr>
          <w:rFonts w:hint="eastAsia"/>
          <w:sz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>
      <w:pPr>
        <w:jc w:val="left"/>
        <w:rPr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5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ZTYyZDRiMGMzMTVjN2M3NTIyZGFkOWFmNWNhNGUifQ=="/>
  </w:docVars>
  <w:rsids>
    <w:rsidRoot w:val="2FDF765A"/>
    <w:rsid w:val="015B64DC"/>
    <w:rsid w:val="247E55DE"/>
    <w:rsid w:val="2FDF765A"/>
    <w:rsid w:val="3FCB6D47"/>
    <w:rsid w:val="40F334EC"/>
    <w:rsid w:val="47410A32"/>
    <w:rsid w:val="48895562"/>
    <w:rsid w:val="56C96BA8"/>
    <w:rsid w:val="68EF491E"/>
    <w:rsid w:val="6A535EAA"/>
    <w:rsid w:val="72914E8F"/>
    <w:rsid w:val="7C32110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2384</Words>
  <Characters>2834</Characters>
  <Lines>0</Lines>
  <Paragraphs>0</Paragraphs>
  <TotalTime>3</TotalTime>
  <ScaleCrop>false</ScaleCrop>
  <LinksUpToDate>false</LinksUpToDate>
  <CharactersWithSpaces>2876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何恒</cp:lastModifiedBy>
  <cp:lastPrinted>2023-03-24T09:57:00Z</cp:lastPrinted>
  <dcterms:modified xsi:type="dcterms:W3CDTF">2023-03-24T10:46:52Z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C621D9616F0343149CF1AF875E40733E</vt:lpwstr>
  </property>
</Properties>
</file>